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D3" w:rsidRPr="003C17A6" w:rsidRDefault="001C4AD3" w:rsidP="00761F88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190E9515" wp14:editId="5F79FDD9">
            <wp:extent cx="771525" cy="866775"/>
            <wp:effectExtent l="0" t="0" r="9525" b="9525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D3" w:rsidRPr="00E00057" w:rsidRDefault="001C4AD3" w:rsidP="00761F88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E00057">
        <w:rPr>
          <w:rFonts w:ascii="Bookman Old Style" w:hAnsi="Bookman Old Style"/>
          <w:b/>
          <w:sz w:val="28"/>
          <w:szCs w:val="28"/>
        </w:rPr>
        <w:t>TRIBUNALE DI MILANO</w:t>
      </w:r>
    </w:p>
    <w:p w:rsidR="001C4AD3" w:rsidRDefault="001C4AD3" w:rsidP="00761F88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E00057">
        <w:rPr>
          <w:rFonts w:ascii="Bookman Old Style" w:hAnsi="Bookman Old Style"/>
          <w:sz w:val="28"/>
          <w:szCs w:val="28"/>
        </w:rPr>
        <w:t>SEZIONE TERZA CIVILE</w:t>
      </w:r>
    </w:p>
    <w:p w:rsidR="00761F88" w:rsidRDefault="00761F88" w:rsidP="00761F88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1C4AD3" w:rsidRDefault="001C4AD3" w:rsidP="00761F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ISTRUZIONI E LINEE GUIDA PER CUSTODI E PROFESSIONISTI DELEGATI ALLE VENDITE IMMOBILIARI</w:t>
      </w:r>
      <w:r w:rsidR="00761F88">
        <w:rPr>
          <w:rFonts w:ascii="Bookman Old Style" w:hAnsi="Bookman Old Style"/>
        </w:rPr>
        <w:t xml:space="preserve"> – </w:t>
      </w:r>
      <w:r w:rsidR="006A428E">
        <w:rPr>
          <w:rFonts w:ascii="Bookman Old Style" w:hAnsi="Bookman Old Style"/>
        </w:rPr>
        <w:t>ASTE E LIBERAZIONI IN ZONA ROSSA</w:t>
      </w:r>
    </w:p>
    <w:p w:rsidR="00741959" w:rsidRDefault="00741959" w:rsidP="00761F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:rsidR="001C4AD3" w:rsidRDefault="001C4AD3" w:rsidP="00761F88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Giudici dell’esecuzione </w:t>
      </w:r>
    </w:p>
    <w:p w:rsidR="00440650" w:rsidRDefault="006A428E" w:rsidP="00761F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visto</w:t>
      </w:r>
      <w:proofErr w:type="gramEnd"/>
      <w:r>
        <w:rPr>
          <w:rFonts w:ascii="Bookman Old Style" w:hAnsi="Bookman Old Style"/>
        </w:rPr>
        <w:t xml:space="preserve"> il DPCM </w:t>
      </w:r>
      <w:r w:rsidR="0025766C">
        <w:rPr>
          <w:rFonts w:ascii="Bookman Old Style" w:hAnsi="Bookman Old Style"/>
        </w:rPr>
        <w:t>3 novembre 2020, art. 3, stante l’urgenza di provvedere, in attesa delle linee guida che verranno emesse dal Presidente del Tribunale;</w:t>
      </w:r>
    </w:p>
    <w:p w:rsidR="001C4AD3" w:rsidRDefault="001C4AD3" w:rsidP="00761F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riservata</w:t>
      </w:r>
      <w:proofErr w:type="gramEnd"/>
      <w:r>
        <w:rPr>
          <w:rFonts w:ascii="Bookman Old Style" w:hAnsi="Bookman Old Style"/>
        </w:rPr>
        <w:t xml:space="preserve"> ogni diversa determinazione in prosieguo, in </w:t>
      </w:r>
      <w:r w:rsidR="00C23C89">
        <w:rPr>
          <w:rFonts w:ascii="Bookman Old Style" w:hAnsi="Bookman Old Style"/>
        </w:rPr>
        <w:t xml:space="preserve">ragione </w:t>
      </w:r>
      <w:r w:rsidR="00461806">
        <w:rPr>
          <w:rFonts w:ascii="Bookman Old Style" w:hAnsi="Bookman Old Style"/>
        </w:rPr>
        <w:t>dell’evoluzione della situazione di emergenza,</w:t>
      </w:r>
    </w:p>
    <w:p w:rsidR="001C4AD3" w:rsidRPr="00E00057" w:rsidRDefault="001C4AD3" w:rsidP="00761F88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</w:rPr>
      </w:pPr>
      <w:proofErr w:type="gramStart"/>
      <w:r w:rsidRPr="00E00057">
        <w:rPr>
          <w:rFonts w:ascii="Bookman Old Style" w:hAnsi="Bookman Old Style"/>
          <w:b/>
        </w:rPr>
        <w:t>così</w:t>
      </w:r>
      <w:proofErr w:type="gramEnd"/>
      <w:r w:rsidRPr="00E00057">
        <w:rPr>
          <w:rFonts w:ascii="Bookman Old Style" w:hAnsi="Bookman Old Style"/>
          <w:b/>
        </w:rPr>
        <w:t xml:space="preserve"> dispongono</w:t>
      </w:r>
    </w:p>
    <w:p w:rsidR="00741959" w:rsidRPr="00741959" w:rsidRDefault="00741959" w:rsidP="0025766C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u w:val="single"/>
          <w:lang w:eastAsia="en-US"/>
        </w:rPr>
      </w:pPr>
      <w:r w:rsidRPr="00741959">
        <w:rPr>
          <w:rFonts w:ascii="Bookman Old Style" w:eastAsiaTheme="minorHAnsi" w:hAnsi="Bookman Old Style" w:cstheme="minorBidi"/>
          <w:szCs w:val="22"/>
          <w:u w:val="single"/>
          <w:lang w:eastAsia="en-US"/>
        </w:rPr>
        <w:t>ASTE E VISITE</w:t>
      </w:r>
    </w:p>
    <w:p w:rsidR="0025766C" w:rsidRDefault="0025766C" w:rsidP="0025766C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>
        <w:rPr>
          <w:rFonts w:ascii="Bookman Old Style" w:eastAsiaTheme="minorHAnsi" w:hAnsi="Bookman Old Style" w:cstheme="minorBidi"/>
          <w:szCs w:val="22"/>
          <w:lang w:eastAsia="en-US"/>
        </w:rPr>
        <w:t>Saranno regolarmente tenute le aste fissate per il giorno 6 novembre 2020, in ragione dell’avvenuto deposito delle offerte, con le cautele già dettate nelle precedenti circolari pubblicate sul sito del Tribunale nella sezione dedicata all’emergenza sanitaria.</w:t>
      </w:r>
    </w:p>
    <w:p w:rsidR="0025766C" w:rsidRDefault="0025766C" w:rsidP="0025766C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>
        <w:rPr>
          <w:rFonts w:ascii="Bookman Old Style" w:eastAsiaTheme="minorHAnsi" w:hAnsi="Bookman Old Style" w:cstheme="minorBidi"/>
          <w:szCs w:val="22"/>
          <w:lang w:eastAsia="en-US"/>
        </w:rPr>
        <w:t xml:space="preserve">Saranno invece revocate dal professionista delegato le </w:t>
      </w:r>
      <w:r w:rsidR="007127BB">
        <w:rPr>
          <w:rFonts w:ascii="Bookman Old Style" w:eastAsiaTheme="minorHAnsi" w:hAnsi="Bookman Old Style" w:cstheme="minorBidi"/>
          <w:szCs w:val="22"/>
          <w:lang w:eastAsia="en-US"/>
        </w:rPr>
        <w:t>udienze per gare di vendita</w:t>
      </w:r>
      <w:r>
        <w:rPr>
          <w:rFonts w:ascii="Bookman Old Style" w:eastAsiaTheme="minorHAnsi" w:hAnsi="Bookman Old Style" w:cstheme="minorBidi"/>
          <w:szCs w:val="22"/>
          <w:lang w:eastAsia="en-US"/>
        </w:rPr>
        <w:t xml:space="preserve"> fissate in tutto il periodo in cui la Lombardia sarà indicata come ‘zona rossa’ ai sensi del ricordato DPCM.</w:t>
      </w:r>
    </w:p>
    <w:p w:rsidR="007127BB" w:rsidRDefault="007127BB" w:rsidP="007127BB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>
        <w:rPr>
          <w:rFonts w:ascii="Bookman Old Style" w:eastAsiaTheme="minorHAnsi" w:hAnsi="Bookman Old Style" w:cstheme="minorBidi"/>
          <w:szCs w:val="22"/>
          <w:lang w:eastAsia="en-US"/>
        </w:rPr>
        <w:t xml:space="preserve">Saranno mantenute ferme le aste fissate in epoca successiva. </w:t>
      </w:r>
      <w:r w:rsidR="00741959">
        <w:rPr>
          <w:rFonts w:ascii="Bookman Old Style" w:eastAsiaTheme="minorHAnsi" w:hAnsi="Bookman Old Style" w:cstheme="minorBidi"/>
          <w:szCs w:val="22"/>
          <w:lang w:eastAsia="en-US"/>
        </w:rPr>
        <w:t>In vista di dette gare, l</w:t>
      </w:r>
      <w:r>
        <w:rPr>
          <w:rFonts w:ascii="Bookman Old Style" w:eastAsiaTheme="minorHAnsi" w:hAnsi="Bookman Old Style" w:cstheme="minorBidi"/>
          <w:szCs w:val="22"/>
          <w:lang w:eastAsia="en-US"/>
        </w:rPr>
        <w:t xml:space="preserve">e visite all’immobile non potranno essere eseguite di presenza, e dovrà essere messo a disposizione </w:t>
      </w:r>
      <w:r w:rsidR="00741959">
        <w:rPr>
          <w:rFonts w:ascii="Bookman Old Style" w:eastAsiaTheme="minorHAnsi" w:hAnsi="Bookman Old Style" w:cstheme="minorBidi"/>
          <w:szCs w:val="22"/>
          <w:lang w:eastAsia="en-US"/>
        </w:rPr>
        <w:t>degli interessati</w:t>
      </w:r>
      <w:r>
        <w:rPr>
          <w:rFonts w:ascii="Bookman Old Style" w:eastAsiaTheme="minorHAnsi" w:hAnsi="Bookman Old Style" w:cstheme="minorBidi"/>
          <w:szCs w:val="22"/>
          <w:lang w:eastAsia="en-US"/>
        </w:rPr>
        <w:t xml:space="preserve"> il </w:t>
      </w:r>
      <w:r w:rsidRPr="004F559D">
        <w:rPr>
          <w:rFonts w:ascii="Bookman Old Style" w:eastAsiaTheme="minorHAnsi" w:hAnsi="Bookman Old Style" w:cstheme="minorBidi"/>
          <w:szCs w:val="22"/>
          <w:lang w:eastAsia="en-US"/>
        </w:rPr>
        <w:t xml:space="preserve">breve filmato con cellulare o videocamera </w:t>
      </w:r>
      <w:r>
        <w:rPr>
          <w:rFonts w:ascii="Bookman Old Style" w:eastAsiaTheme="minorHAnsi" w:hAnsi="Bookman Old Style" w:cstheme="minorBidi"/>
          <w:szCs w:val="22"/>
          <w:lang w:eastAsia="en-US"/>
        </w:rPr>
        <w:t>eseguito dal custode in occasione del primo accesso</w:t>
      </w:r>
      <w:r w:rsidRPr="004F559D">
        <w:rPr>
          <w:rFonts w:ascii="Bookman Old Style" w:eastAsiaTheme="minorHAnsi" w:hAnsi="Bookman Old Style" w:cstheme="minorBidi"/>
          <w:szCs w:val="22"/>
          <w:lang w:eastAsia="en-US"/>
        </w:rPr>
        <w:t xml:space="preserve">, insieme ad eventuali ulteriori fotografie in possesso dell’esperto rispetto a quelle già contenute nella relazione di stima. </w:t>
      </w:r>
      <w:r>
        <w:rPr>
          <w:rFonts w:ascii="Bookman Old Style" w:eastAsiaTheme="minorHAnsi" w:hAnsi="Bookman Old Style" w:cstheme="minorBidi"/>
          <w:szCs w:val="22"/>
          <w:lang w:eastAsia="en-US"/>
        </w:rPr>
        <w:t>Le i</w:t>
      </w:r>
      <w:r w:rsidRPr="004F559D">
        <w:rPr>
          <w:rFonts w:ascii="Bookman Old Style" w:eastAsiaTheme="minorHAnsi" w:hAnsi="Bookman Old Style" w:cstheme="minorBidi"/>
          <w:szCs w:val="22"/>
          <w:lang w:eastAsia="en-US"/>
        </w:rPr>
        <w:t xml:space="preserve">mmagini e riprese </w:t>
      </w:r>
      <w:r w:rsid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– come prescritto nella circolare del 15 luglio 2020 </w:t>
      </w:r>
      <w:r w:rsidR="00CA1C47">
        <w:rPr>
          <w:rFonts w:ascii="Bookman Old Style" w:eastAsiaTheme="minorHAnsi" w:hAnsi="Bookman Old Style" w:cstheme="minorBidi"/>
          <w:szCs w:val="22"/>
          <w:lang w:eastAsia="en-US"/>
        </w:rPr>
        <w:t>-</w:t>
      </w:r>
      <w:r>
        <w:rPr>
          <w:rFonts w:ascii="Bookman Old Style" w:eastAsiaTheme="minorHAnsi" w:hAnsi="Bookman Old Style" w:cstheme="minorBidi"/>
          <w:szCs w:val="22"/>
          <w:lang w:eastAsia="en-US"/>
        </w:rPr>
        <w:t>saranno</w:t>
      </w:r>
      <w:r w:rsidRPr="004F559D">
        <w:rPr>
          <w:rFonts w:ascii="Bookman Old Style" w:eastAsiaTheme="minorHAnsi" w:hAnsi="Bookman Old Style" w:cstheme="minorBidi"/>
          <w:szCs w:val="22"/>
          <w:lang w:eastAsia="en-US"/>
        </w:rPr>
        <w:t xml:space="preserve"> effettuate nel rispetto del diritto alla riservatezza e non </w:t>
      </w:r>
      <w:r>
        <w:rPr>
          <w:rFonts w:ascii="Bookman Old Style" w:eastAsiaTheme="minorHAnsi" w:hAnsi="Bookman Old Style" w:cstheme="minorBidi"/>
          <w:szCs w:val="22"/>
          <w:lang w:eastAsia="en-US"/>
        </w:rPr>
        <w:t>dovranno</w:t>
      </w:r>
      <w:r w:rsidRPr="004F559D">
        <w:rPr>
          <w:rFonts w:ascii="Bookman Old Style" w:eastAsiaTheme="minorHAnsi" w:hAnsi="Bookman Old Style" w:cstheme="minorBidi"/>
          <w:szCs w:val="22"/>
          <w:lang w:eastAsia="en-US"/>
        </w:rPr>
        <w:t xml:space="preserve"> consentire l'identificazione del debitore e dei suoi familiari. L’accesso all’immobile sarà dunque compiuto solo a seguito di effettiva manifestazione di interesse alla visita di presenza</w:t>
      </w:r>
      <w:r>
        <w:rPr>
          <w:rFonts w:ascii="Bookman Old Style" w:eastAsiaTheme="minorHAnsi" w:hAnsi="Bookman Old Style" w:cstheme="minorBidi"/>
          <w:szCs w:val="22"/>
          <w:lang w:eastAsia="en-US"/>
        </w:rPr>
        <w:t>, e solamente quando sarà terminato il periodo di ‘zona rossa’</w:t>
      </w:r>
      <w:r w:rsidRPr="004F559D">
        <w:rPr>
          <w:rFonts w:ascii="Bookman Old Style" w:eastAsiaTheme="minorHAnsi" w:hAnsi="Bookman Old Style" w:cstheme="minorBidi"/>
          <w:szCs w:val="22"/>
          <w:lang w:eastAsia="en-US"/>
        </w:rPr>
        <w:t xml:space="preserve">. Per </w:t>
      </w:r>
      <w:r w:rsidRPr="004F559D">
        <w:rPr>
          <w:rFonts w:ascii="Bookman Old Style" w:eastAsiaTheme="minorHAnsi" w:hAnsi="Bookman Old Style" w:cstheme="minorBidi"/>
          <w:szCs w:val="22"/>
          <w:lang w:eastAsia="en-US"/>
        </w:rPr>
        <w:lastRenderedPageBreak/>
        <w:t xml:space="preserve">accedere all’immobile il visitatore dovrà </w:t>
      </w:r>
      <w:r>
        <w:rPr>
          <w:rFonts w:ascii="Bookman Old Style" w:eastAsiaTheme="minorHAnsi" w:hAnsi="Bookman Old Style" w:cstheme="minorBidi"/>
          <w:szCs w:val="22"/>
          <w:lang w:eastAsia="en-US"/>
        </w:rPr>
        <w:t xml:space="preserve">in ogni caso </w:t>
      </w:r>
      <w:r w:rsidRPr="004F559D">
        <w:rPr>
          <w:rFonts w:ascii="Bookman Old Style" w:eastAsiaTheme="minorHAnsi" w:hAnsi="Bookman Old Style" w:cstheme="minorBidi"/>
          <w:szCs w:val="22"/>
          <w:lang w:eastAsia="en-US"/>
        </w:rPr>
        <w:t>munirsi di mascherina, oltre che di gel igienizzante da utilizzare prima e dopo l’ingresso, e dovrà mantenere la distanza di un metro dalle persone presenti. Anche gli occupanti dell’immobile dovranno utilizzare la mascherina. Durante la visita le finestre dei locali visitati dovranno rimanere aperte.</w:t>
      </w:r>
      <w:r>
        <w:rPr>
          <w:rFonts w:ascii="Bookman Old Style" w:eastAsiaTheme="minorHAnsi" w:hAnsi="Bookman Old Style" w:cstheme="minorBidi"/>
          <w:szCs w:val="22"/>
          <w:lang w:eastAsia="en-US"/>
        </w:rPr>
        <w:t xml:space="preserve"> La visita sarà ovviamente possibile solo se le persone che vi abitano o che occupano l’</w:t>
      </w:r>
      <w:r w:rsidR="00CA1C47">
        <w:rPr>
          <w:rFonts w:ascii="Bookman Old Style" w:eastAsiaTheme="minorHAnsi" w:hAnsi="Bookman Old Style" w:cstheme="minorBidi"/>
          <w:szCs w:val="22"/>
          <w:lang w:eastAsia="en-US"/>
        </w:rPr>
        <w:t>immobile</w:t>
      </w:r>
      <w:r>
        <w:rPr>
          <w:rFonts w:ascii="Bookman Old Style" w:eastAsiaTheme="minorHAnsi" w:hAnsi="Bookman Old Style" w:cstheme="minorBidi"/>
          <w:szCs w:val="22"/>
          <w:lang w:eastAsia="en-US"/>
        </w:rPr>
        <w:t xml:space="preserve"> non </w:t>
      </w:r>
      <w:r w:rsidR="00CA1C47">
        <w:rPr>
          <w:rFonts w:ascii="Bookman Old Style" w:eastAsiaTheme="minorHAnsi" w:hAnsi="Bookman Old Style" w:cstheme="minorBidi"/>
          <w:szCs w:val="22"/>
          <w:lang w:eastAsia="en-US"/>
        </w:rPr>
        <w:t>si trovino</w:t>
      </w:r>
      <w:r>
        <w:rPr>
          <w:rFonts w:ascii="Bookman Old Style" w:eastAsiaTheme="minorHAnsi" w:hAnsi="Bookman Old Style" w:cstheme="minorBidi"/>
          <w:szCs w:val="22"/>
          <w:lang w:eastAsia="en-US"/>
        </w:rPr>
        <w:t xml:space="preserve"> in quarantena o isolamento.</w:t>
      </w:r>
    </w:p>
    <w:p w:rsidR="00741959" w:rsidRDefault="00741959" w:rsidP="007127BB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>
        <w:rPr>
          <w:rFonts w:ascii="Bookman Old Style" w:eastAsiaTheme="minorHAnsi" w:hAnsi="Bookman Old Style" w:cstheme="minorBidi"/>
          <w:szCs w:val="22"/>
          <w:lang w:eastAsia="en-US"/>
        </w:rPr>
        <w:t>Le istruzioni che precedono saranno applicate fino a quando non intervengano linee guida di segno eventualmente diverso emanate dal Presidente del Tribunale.</w:t>
      </w:r>
    </w:p>
    <w:p w:rsidR="00741959" w:rsidRDefault="00741959" w:rsidP="007127BB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</w:p>
    <w:p w:rsidR="00741959" w:rsidRDefault="00741959" w:rsidP="007127BB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>
        <w:rPr>
          <w:rFonts w:ascii="Bookman Old Style" w:eastAsiaTheme="minorHAnsi" w:hAnsi="Bookman Old Style" w:cstheme="minorBidi"/>
          <w:szCs w:val="22"/>
          <w:lang w:eastAsia="en-US"/>
        </w:rPr>
        <w:t>ORDINI DI LIBERAZIONE</w:t>
      </w:r>
    </w:p>
    <w:p w:rsidR="00741959" w:rsidRPr="00741959" w:rsidRDefault="00741959" w:rsidP="00741959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>Nel caso di procedura esecutiva con ordine di liberazione emesso:</w:t>
      </w:r>
    </w:p>
    <w:p w:rsidR="00741959" w:rsidRDefault="00741959" w:rsidP="00741959">
      <w:pPr>
        <w:suppressAutoHyphens/>
        <w:spacing w:after="160" w:line="360" w:lineRule="auto"/>
        <w:contextualSpacing/>
        <w:rPr>
          <w:rFonts w:ascii="Bookman Old Style" w:eastAsiaTheme="minorHAnsi" w:hAnsi="Bookman Old Style" w:cstheme="minorBidi"/>
          <w:szCs w:val="22"/>
          <w:lang w:eastAsia="en-US"/>
        </w:rPr>
      </w:pPr>
      <w:r>
        <w:rPr>
          <w:rFonts w:ascii="Bookman Old Style" w:eastAsiaTheme="minorHAnsi" w:hAnsi="Bookman Old Style" w:cstheme="minorBidi"/>
          <w:szCs w:val="22"/>
          <w:lang w:eastAsia="en-US"/>
        </w:rPr>
        <w:t xml:space="preserve">→ </w:t>
      </w: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>In caso di immobile non abitato dal debitore</w:t>
      </w:r>
      <w:r>
        <w:rPr>
          <w:rFonts w:ascii="Bookman Old Style" w:eastAsiaTheme="minorHAnsi" w:hAnsi="Bookman Old Style" w:cstheme="minorBidi"/>
          <w:szCs w:val="22"/>
          <w:lang w:eastAsia="en-US"/>
        </w:rPr>
        <w:t>, o</w:t>
      </w:r>
    </w:p>
    <w:p w:rsidR="00741959" w:rsidRPr="00741959" w:rsidRDefault="00741959" w:rsidP="00CA1C47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>
        <w:rPr>
          <w:rFonts w:ascii="Bookman Old Style" w:eastAsiaTheme="minorHAnsi" w:hAnsi="Bookman Old Style" w:cstheme="minorBidi"/>
          <w:szCs w:val="22"/>
          <w:lang w:eastAsia="en-US"/>
        </w:rPr>
        <w:t xml:space="preserve">→ </w:t>
      </w: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>Per violazioni degli obblighi di custodia del debitore di cui all’art. 560 se</w:t>
      </w:r>
      <w:bookmarkStart w:id="0" w:name="_GoBack"/>
      <w:bookmarkEnd w:id="0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sto comma </w:t>
      </w:r>
      <w:proofErr w:type="spellStart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>c.p.c.</w:t>
      </w:r>
      <w:proofErr w:type="spellEnd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 nuova formulazione successivamente al 1.3.2020</w:t>
      </w:r>
      <w:r>
        <w:rPr>
          <w:rFonts w:ascii="Bookman Old Style" w:eastAsiaTheme="minorHAnsi" w:hAnsi="Bookman Old Style" w:cstheme="minorBidi"/>
          <w:szCs w:val="22"/>
          <w:lang w:eastAsia="en-US"/>
        </w:rPr>
        <w:t>,</w:t>
      </w:r>
    </w:p>
    <w:p w:rsidR="00741959" w:rsidRPr="00741959" w:rsidRDefault="00741959" w:rsidP="00741959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proofErr w:type="gramStart"/>
      <w:r>
        <w:rPr>
          <w:rFonts w:ascii="Bookman Old Style" w:eastAsiaTheme="minorHAnsi" w:hAnsi="Bookman Old Style" w:cstheme="minorBidi"/>
          <w:szCs w:val="22"/>
          <w:lang w:eastAsia="en-US"/>
        </w:rPr>
        <w:t>i</w:t>
      </w: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>l</w:t>
      </w:r>
      <w:proofErr w:type="gramEnd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 custode potrà proseguire nell’attuazione senza le forme di cui all’art. 605 </w:t>
      </w:r>
      <w:proofErr w:type="spellStart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>c.p.c.</w:t>
      </w:r>
      <w:proofErr w:type="spellEnd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 fino all’aggiudicazione e, successivamente, solo nel caso di richiesta dell’aggiudicatario.</w:t>
      </w:r>
    </w:p>
    <w:p w:rsidR="00741959" w:rsidRPr="00741959" w:rsidRDefault="00741959" w:rsidP="00741959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Il delegato avrà cura di verificare le intenzioni dell’aggiudicatario (se intende </w:t>
      </w:r>
      <w:r w:rsidRPr="00741959">
        <w:rPr>
          <w:rFonts w:ascii="Bookman Old Style" w:eastAsiaTheme="minorHAnsi" w:hAnsi="Bookman Old Style" w:cstheme="minorBidi"/>
          <w:szCs w:val="22"/>
          <w:u w:val="single"/>
          <w:lang w:eastAsia="en-US"/>
        </w:rPr>
        <w:t xml:space="preserve">richiedere </w:t>
      </w: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l’attuazione a spese e cura della procedura </w:t>
      </w:r>
      <w:r w:rsidRPr="00741959">
        <w:rPr>
          <w:rFonts w:ascii="Bookman Old Style" w:eastAsiaTheme="minorHAnsi" w:hAnsi="Bookman Old Style" w:cstheme="minorBidi"/>
          <w:szCs w:val="22"/>
          <w:u w:val="single"/>
          <w:lang w:eastAsia="en-US"/>
        </w:rPr>
        <w:t>o rinunciarvi</w:t>
      </w: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) dandone atto nel verbale di vendita (sia che vi sia richiesta sia che vi sia rinuncia). </w:t>
      </w:r>
    </w:p>
    <w:p w:rsidR="00741959" w:rsidRPr="00741959" w:rsidRDefault="00741959" w:rsidP="00741959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Ove il delegato non coincida col custode, </w:t>
      </w:r>
      <w:r>
        <w:rPr>
          <w:rFonts w:ascii="Bookman Old Style" w:eastAsiaTheme="minorHAnsi" w:hAnsi="Bookman Old Style" w:cstheme="minorBidi"/>
          <w:szCs w:val="22"/>
          <w:lang w:eastAsia="en-US"/>
        </w:rPr>
        <w:t xml:space="preserve">il primo </w:t>
      </w: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>trasmetterà a quest’ultimo il verbale di cui al punto precedente.</w:t>
      </w:r>
    </w:p>
    <w:p w:rsidR="00741959" w:rsidRPr="00741959" w:rsidRDefault="00741959" w:rsidP="00741959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Se aggiudicazione vi è già stata, il custode provvederà a convocare l’aggiudicatario per verificarne le intenzioni, che andranno formalizzate. </w:t>
      </w:r>
    </w:p>
    <w:p w:rsidR="00741959" w:rsidRPr="00741959" w:rsidRDefault="00741959" w:rsidP="00741959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>
        <w:rPr>
          <w:rFonts w:ascii="Bookman Old Style" w:eastAsiaTheme="minorHAnsi" w:hAnsi="Bookman Old Style" w:cstheme="minorBidi"/>
          <w:szCs w:val="22"/>
          <w:lang w:eastAsia="en-US"/>
        </w:rPr>
        <w:t xml:space="preserve">→ </w:t>
      </w: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In caso di immobile abitato dal debitore </w:t>
      </w:r>
    </w:p>
    <w:p w:rsidR="00741959" w:rsidRPr="00741959" w:rsidRDefault="00741959" w:rsidP="00741959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 w:rsidRPr="00741959">
        <w:rPr>
          <w:rFonts w:ascii="Bookman Old Style" w:eastAsiaTheme="minorHAnsi" w:hAnsi="Bookman Old Style" w:cstheme="minorBidi"/>
          <w:szCs w:val="22"/>
          <w:u w:val="single"/>
          <w:lang w:eastAsia="en-US"/>
        </w:rPr>
        <w:t>L’eventuale ordine di liberazione già emesso non potrà essere attuato</w:t>
      </w: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 (salve le ipotesi di </w:t>
      </w:r>
      <w:proofErr w:type="spellStart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>odl</w:t>
      </w:r>
      <w:proofErr w:type="spellEnd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 anticipato emesso per violazioni degli obblighi di custodia del debitore di cui all’art. 560, co. VI, </w:t>
      </w:r>
      <w:proofErr w:type="spellStart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>c.p.c.</w:t>
      </w:r>
      <w:proofErr w:type="spellEnd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>).</w:t>
      </w:r>
    </w:p>
    <w:p w:rsidR="00741959" w:rsidRPr="00741959" w:rsidRDefault="00741959" w:rsidP="00741959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Nel caso di procedure in cui non sia ancora intervenuta </w:t>
      </w:r>
      <w:r>
        <w:rPr>
          <w:rFonts w:ascii="Bookman Old Style" w:eastAsiaTheme="minorHAnsi" w:hAnsi="Bookman Old Style" w:cstheme="minorBidi"/>
          <w:szCs w:val="22"/>
          <w:lang w:eastAsia="en-US"/>
        </w:rPr>
        <w:t>l’</w:t>
      </w: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>aggiudicazione</w:t>
      </w:r>
      <w:r>
        <w:rPr>
          <w:rFonts w:ascii="Bookman Old Style" w:eastAsiaTheme="minorHAnsi" w:hAnsi="Bookman Old Style" w:cstheme="minorBidi"/>
          <w:szCs w:val="22"/>
          <w:lang w:eastAsia="en-US"/>
        </w:rPr>
        <w:t>,</w:t>
      </w: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 i custodi avranno cura di segnalare immediatamente ogni violazione degli obblighi di custodia del debitore per l’emissione di </w:t>
      </w:r>
      <w:proofErr w:type="spellStart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>odl</w:t>
      </w:r>
      <w:proofErr w:type="spellEnd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 anticipato anche prima della vendita.</w:t>
      </w:r>
    </w:p>
    <w:p w:rsidR="00741959" w:rsidRPr="00741959" w:rsidRDefault="00741959" w:rsidP="00741959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 w:rsidRPr="00741959">
        <w:rPr>
          <w:rFonts w:ascii="Bookman Old Style" w:eastAsiaTheme="minorHAnsi" w:hAnsi="Bookman Old Style" w:cstheme="minorBidi"/>
          <w:szCs w:val="22"/>
          <w:lang w:eastAsia="en-US"/>
        </w:rPr>
        <w:lastRenderedPageBreak/>
        <w:t xml:space="preserve">Il delegato avrà cura di verificare se l’aggiudicatario formuli istanza di attuazione dell’ingiunzione di rilascio contenuta nel decreto di trasferimento con le modalità di cui all’art. 560 </w:t>
      </w:r>
      <w:proofErr w:type="spellStart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>c.p.c.</w:t>
      </w:r>
      <w:proofErr w:type="spellEnd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 o vi rinunci dandone atto nel verbale di vendita.</w:t>
      </w:r>
    </w:p>
    <w:p w:rsidR="00741959" w:rsidRPr="00741959" w:rsidRDefault="00741959" w:rsidP="00741959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Ove il delegato non coincida col custode, </w:t>
      </w:r>
      <w:r>
        <w:rPr>
          <w:rFonts w:ascii="Bookman Old Style" w:eastAsiaTheme="minorHAnsi" w:hAnsi="Bookman Old Style" w:cstheme="minorBidi"/>
          <w:szCs w:val="22"/>
          <w:lang w:eastAsia="en-US"/>
        </w:rPr>
        <w:t xml:space="preserve">il primo </w:t>
      </w: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>trasmetterà a quest’ultimo il verbale di cui al punto precedente.</w:t>
      </w:r>
    </w:p>
    <w:p w:rsidR="00741959" w:rsidRPr="00741959" w:rsidRDefault="00741959" w:rsidP="00741959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Nel caso in cui l’aggiudicatario formuli istanza di attuazione a cura del custode questi attuerà l’ingiunzione secondo l’art. 560 sesto comma </w:t>
      </w:r>
      <w:proofErr w:type="spellStart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>c.p.c.</w:t>
      </w:r>
      <w:proofErr w:type="spellEnd"/>
      <w:r w:rsidRPr="00741959">
        <w:rPr>
          <w:rFonts w:ascii="Bookman Old Style" w:eastAsiaTheme="minorHAnsi" w:hAnsi="Bookman Old Style" w:cstheme="minorBidi"/>
          <w:szCs w:val="22"/>
          <w:lang w:eastAsia="en-US"/>
        </w:rPr>
        <w:t xml:space="preserve"> e, in caso di necessità, chiederà ulteriori istruzioni sulle modalità di attuazione al GE.</w:t>
      </w:r>
    </w:p>
    <w:p w:rsidR="0025766C" w:rsidRDefault="00741959" w:rsidP="0025766C">
      <w:pPr>
        <w:suppressAutoHyphens/>
        <w:spacing w:after="160" w:line="360" w:lineRule="auto"/>
        <w:contextualSpacing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>
        <w:rPr>
          <w:rFonts w:ascii="Bookman Old Style" w:eastAsiaTheme="minorHAnsi" w:hAnsi="Bookman Old Style" w:cstheme="minorBidi"/>
          <w:szCs w:val="22"/>
          <w:lang w:eastAsia="en-US"/>
        </w:rPr>
        <w:t>Milano, 5 novembre 2020.</w:t>
      </w:r>
    </w:p>
    <w:p w:rsidR="001C4AD3" w:rsidRDefault="001C4AD3" w:rsidP="00D1193B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giudici dell’esecuzione </w:t>
      </w:r>
    </w:p>
    <w:p w:rsidR="001C4AD3" w:rsidRDefault="001C4AD3" w:rsidP="00D1193B">
      <w:pPr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Marianna Galioto</w:t>
      </w:r>
    </w:p>
    <w:p w:rsidR="001C4AD3" w:rsidRDefault="001C4AD3" w:rsidP="00D1193B">
      <w:pPr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Maria Gabriella Mennuni</w:t>
      </w:r>
    </w:p>
    <w:p w:rsidR="001C4AD3" w:rsidRPr="004B103A" w:rsidRDefault="001C4AD3" w:rsidP="00D1193B">
      <w:pPr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4B103A">
        <w:rPr>
          <w:rFonts w:ascii="Bookman Old Style" w:hAnsi="Bookman Old Style"/>
          <w:i/>
        </w:rPr>
        <w:t>Simona Caterbi</w:t>
      </w:r>
    </w:p>
    <w:p w:rsidR="001C4AD3" w:rsidRDefault="001C4AD3" w:rsidP="00D1193B">
      <w:pPr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4B103A">
        <w:rPr>
          <w:rFonts w:ascii="Bookman Old Style" w:hAnsi="Bookman Old Style"/>
          <w:i/>
        </w:rPr>
        <w:t>Caterina Trentini</w:t>
      </w:r>
    </w:p>
    <w:p w:rsidR="001C4AD3" w:rsidRPr="004B103A" w:rsidRDefault="001C4AD3" w:rsidP="00D1193B">
      <w:pPr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4B103A">
        <w:rPr>
          <w:rFonts w:ascii="Bookman Old Style" w:hAnsi="Bookman Old Style"/>
          <w:i/>
        </w:rPr>
        <w:t xml:space="preserve">Giuseppe </w:t>
      </w:r>
      <w:proofErr w:type="spellStart"/>
      <w:r w:rsidRPr="004B103A">
        <w:rPr>
          <w:rFonts w:ascii="Bookman Old Style" w:hAnsi="Bookman Old Style"/>
          <w:i/>
        </w:rPr>
        <w:t>Fiengo</w:t>
      </w:r>
      <w:proofErr w:type="spellEnd"/>
    </w:p>
    <w:p w:rsidR="001C4AD3" w:rsidRDefault="001C4AD3" w:rsidP="00D1193B">
      <w:pPr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4B103A">
        <w:rPr>
          <w:rFonts w:ascii="Bookman Old Style" w:hAnsi="Bookman Old Style"/>
          <w:i/>
        </w:rPr>
        <w:t>Roberto Angelini</w:t>
      </w:r>
    </w:p>
    <w:p w:rsidR="001C4AD3" w:rsidRPr="004B103A" w:rsidRDefault="001C4AD3" w:rsidP="00D1193B">
      <w:pPr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proofErr w:type="spellStart"/>
      <w:r w:rsidRPr="004B103A">
        <w:rPr>
          <w:rFonts w:ascii="Bookman Old Style" w:hAnsi="Bookman Old Style"/>
          <w:i/>
        </w:rPr>
        <w:t>Idamaria</w:t>
      </w:r>
      <w:proofErr w:type="spellEnd"/>
      <w:r w:rsidRPr="004B103A">
        <w:rPr>
          <w:rFonts w:ascii="Bookman Old Style" w:hAnsi="Bookman Old Style"/>
          <w:i/>
        </w:rPr>
        <w:t xml:space="preserve"> </w:t>
      </w:r>
      <w:proofErr w:type="spellStart"/>
      <w:r w:rsidRPr="004B103A">
        <w:rPr>
          <w:rFonts w:ascii="Bookman Old Style" w:hAnsi="Bookman Old Style"/>
          <w:i/>
        </w:rPr>
        <w:t>Chieffo</w:t>
      </w:r>
      <w:proofErr w:type="spellEnd"/>
    </w:p>
    <w:p w:rsidR="001C4AD3" w:rsidRDefault="001C4AD3" w:rsidP="00D1193B">
      <w:pPr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4B103A">
        <w:rPr>
          <w:rFonts w:ascii="Bookman Old Style" w:hAnsi="Bookman Old Style"/>
          <w:i/>
        </w:rPr>
        <w:t>Giacomo Puricelli</w:t>
      </w:r>
    </w:p>
    <w:p w:rsidR="001C4AD3" w:rsidRDefault="001C4AD3" w:rsidP="00D1193B">
      <w:pPr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4B103A">
        <w:rPr>
          <w:rFonts w:ascii="Bookman Old Style" w:hAnsi="Bookman Old Style"/>
          <w:i/>
        </w:rPr>
        <w:t>Silvia Vaghi</w:t>
      </w:r>
    </w:p>
    <w:p w:rsidR="00AC7D92" w:rsidRDefault="00AC7D92" w:rsidP="00D1193B"/>
    <w:sectPr w:rsidR="00AC7D9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EA" w:rsidRDefault="00F424EA">
      <w:r>
        <w:separator/>
      </w:r>
    </w:p>
  </w:endnote>
  <w:endnote w:type="continuationSeparator" w:id="0">
    <w:p w:rsidR="00F424EA" w:rsidRDefault="00F4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18" w:rsidRDefault="007059E8">
    <w:pPr>
      <w:pStyle w:val="Pidipagina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A1C47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EA" w:rsidRDefault="00F424EA">
      <w:r>
        <w:separator/>
      </w:r>
    </w:p>
  </w:footnote>
  <w:footnote w:type="continuationSeparator" w:id="0">
    <w:p w:rsidR="00F424EA" w:rsidRDefault="00F42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D3"/>
    <w:rsid w:val="000121AC"/>
    <w:rsid w:val="00095CA6"/>
    <w:rsid w:val="000C008B"/>
    <w:rsid w:val="001C4AD3"/>
    <w:rsid w:val="001E30EC"/>
    <w:rsid w:val="0025766C"/>
    <w:rsid w:val="003919C1"/>
    <w:rsid w:val="00392A97"/>
    <w:rsid w:val="00397ACE"/>
    <w:rsid w:val="003B2ECC"/>
    <w:rsid w:val="00440650"/>
    <w:rsid w:val="00461806"/>
    <w:rsid w:val="004659F6"/>
    <w:rsid w:val="004B21F2"/>
    <w:rsid w:val="00595903"/>
    <w:rsid w:val="005C4223"/>
    <w:rsid w:val="0064733C"/>
    <w:rsid w:val="006A428E"/>
    <w:rsid w:val="007059E8"/>
    <w:rsid w:val="007127BB"/>
    <w:rsid w:val="00741959"/>
    <w:rsid w:val="00761F88"/>
    <w:rsid w:val="007D5016"/>
    <w:rsid w:val="00863AE8"/>
    <w:rsid w:val="008866D8"/>
    <w:rsid w:val="009110D0"/>
    <w:rsid w:val="009B7C74"/>
    <w:rsid w:val="009E7F83"/>
    <w:rsid w:val="00A520DE"/>
    <w:rsid w:val="00A93011"/>
    <w:rsid w:val="00A931BC"/>
    <w:rsid w:val="00AC7D8B"/>
    <w:rsid w:val="00AC7D92"/>
    <w:rsid w:val="00B976DC"/>
    <w:rsid w:val="00BB7030"/>
    <w:rsid w:val="00BC08AF"/>
    <w:rsid w:val="00BF393E"/>
    <w:rsid w:val="00C0741F"/>
    <w:rsid w:val="00C23C89"/>
    <w:rsid w:val="00CA1C47"/>
    <w:rsid w:val="00CA4F70"/>
    <w:rsid w:val="00D1193B"/>
    <w:rsid w:val="00E104FD"/>
    <w:rsid w:val="00EA5C70"/>
    <w:rsid w:val="00EB54B9"/>
    <w:rsid w:val="00F02955"/>
    <w:rsid w:val="00F424EA"/>
    <w:rsid w:val="00F56536"/>
    <w:rsid w:val="00F84C79"/>
    <w:rsid w:val="00F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DE57-6376-4ACC-801E-1A47FF44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C4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4AD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C4A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6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65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Galioto</dc:creator>
  <cp:keywords/>
  <dc:description/>
  <cp:lastModifiedBy>Marianna Galioto</cp:lastModifiedBy>
  <cp:revision>4</cp:revision>
  <cp:lastPrinted>2020-05-08T10:48:00Z</cp:lastPrinted>
  <dcterms:created xsi:type="dcterms:W3CDTF">2020-11-05T15:40:00Z</dcterms:created>
  <dcterms:modified xsi:type="dcterms:W3CDTF">2020-11-05T16:22:00Z</dcterms:modified>
</cp:coreProperties>
</file>